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C64A9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14:paraId="1CCE7C5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Механика-математика факультеті</w:t>
      </w:r>
    </w:p>
    <w:p w14:paraId="3885D4E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Математика кафедрасы</w:t>
      </w:r>
    </w:p>
    <w:p w14:paraId="01446E1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940449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19445B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042B81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A9D696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3E26C5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063154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4333BA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БЕКІТЕМІН</w:t>
      </w:r>
    </w:p>
    <w:p w14:paraId="0C85264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Математика кафедрасы меңгерушісі</w:t>
      </w:r>
    </w:p>
    <w:p w14:paraId="6B194D4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kk-KZ"/>
        </w:rPr>
      </w:pPr>
    </w:p>
    <w:p w14:paraId="44B56E9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_________________ 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Касенов С.Е.</w:t>
      </w:r>
    </w:p>
    <w:p w14:paraId="7F603E5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kk-KZ"/>
        </w:rPr>
      </w:pPr>
    </w:p>
    <w:p w14:paraId="2A44853F" w14:textId="068D2DB6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«___» ___________ 202</w:t>
      </w:r>
      <w:r w:rsidR="002B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 ж.</w:t>
      </w:r>
    </w:p>
    <w:p w14:paraId="21B87C4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D83B68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0FF69D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18C011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311F09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F80EF61" w14:textId="4B0EAD3D" w:rsidR="001A5D13" w:rsidRPr="00942E77" w:rsidRDefault="00942E77" w:rsidP="00942E77">
      <w:pPr>
        <w:ind w:left="1087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42E77">
        <w:rPr>
          <w:rFonts w:ascii="Times New Roman" w:hAnsi="Times New Roman" w:cs="Times New Roman"/>
          <w:b/>
          <w:sz w:val="24"/>
          <w:lang w:val="kk-KZ"/>
        </w:rPr>
        <w:t>DU</w:t>
      </w:r>
      <w:r w:rsidR="00964811" w:rsidRPr="00964811">
        <w:rPr>
          <w:rFonts w:ascii="Times New Roman" w:hAnsi="Times New Roman" w:cs="Times New Roman"/>
          <w:b/>
          <w:sz w:val="24"/>
          <w:lang w:val="kk-KZ"/>
        </w:rPr>
        <w:t xml:space="preserve">MP </w:t>
      </w:r>
      <w:r w:rsidR="00964811">
        <w:rPr>
          <w:rFonts w:ascii="Times New Roman" w:hAnsi="Times New Roman" w:cs="Times New Roman"/>
          <w:b/>
          <w:sz w:val="24"/>
          <w:lang w:val="kk-KZ"/>
        </w:rPr>
        <w:t>43</w:t>
      </w:r>
      <w:r w:rsidR="00964811" w:rsidRPr="00964811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Pr="009648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64811" w:rsidRPr="00964811">
        <w:rPr>
          <w:rFonts w:ascii="Times New Roman" w:hAnsi="Times New Roman" w:cs="Times New Roman"/>
          <w:b/>
          <w:sz w:val="24"/>
          <w:szCs w:val="24"/>
          <w:lang w:val="kk-KZ"/>
        </w:rPr>
        <w:t>Кіші параметрлі дифференциалдық теңдеулер</w:t>
      </w:r>
      <w:r w:rsidR="00964811"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1A5D13"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п</w:t>
      </w:r>
      <w:r w:rsidR="001A5D13" w:rsidRPr="001A5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әні бойынша</w:t>
      </w:r>
    </w:p>
    <w:p w14:paraId="106C5015" w14:textId="77777777" w:rsidR="001A5D13" w:rsidRPr="001A5D13" w:rsidRDefault="001A5D13" w:rsidP="00942E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қорытынды бақылау бағдарламасы</w:t>
      </w:r>
    </w:p>
    <w:p w14:paraId="2648E23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51B0E61" w14:textId="77777777" w:rsidR="001A5D13" w:rsidRPr="0093791B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EB714CC" w14:textId="268D9A71" w:rsidR="001A5D13" w:rsidRPr="00942E77" w:rsidRDefault="00942E77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6481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964811" w:rsidRPr="00964811">
        <w:rPr>
          <w:rFonts w:ascii="Times New Roman" w:hAnsi="Times New Roman" w:cs="Times New Roman"/>
          <w:szCs w:val="24"/>
          <w:lang w:val="kk-KZ"/>
        </w:rPr>
        <w:t>6B05402</w:t>
      </w:r>
      <w:r w:rsidR="00964811" w:rsidRPr="00964811">
        <w:rPr>
          <w:rFonts w:ascii="Times New Roman" w:hAnsi="Times New Roman" w:cs="Times New Roman"/>
          <w:sz w:val="24"/>
          <w:lang w:val="kk-KZ"/>
        </w:rPr>
        <w:t>-</w:t>
      </w:r>
      <w:r w:rsidR="00964811" w:rsidRPr="00964811">
        <w:rPr>
          <w:rFonts w:ascii="Times New Roman" w:hAnsi="Times New Roman" w:cs="Times New Roman"/>
          <w:lang w:val="kk-KZ"/>
        </w:rPr>
        <w:t>Математика</w:t>
      </w:r>
      <w:r w:rsidRPr="00964811">
        <w:rPr>
          <w:rFonts w:ascii="Times New Roman" w:hAnsi="Times New Roman" w:cs="Times New Roman"/>
          <w:sz w:val="24"/>
          <w:szCs w:val="24"/>
          <w:lang w:val="kk-KZ"/>
        </w:rPr>
        <w:t>» білім беру бағдарламасы</w:t>
      </w:r>
    </w:p>
    <w:p w14:paraId="20A58B9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09E9ADA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64B87CB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1494910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228BB32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64638B58" w14:textId="12B3BAFE" w:rsidR="001A5D13" w:rsidRPr="002B19EA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D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Курс – </w:t>
      </w:r>
      <w:r w:rsidR="009648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4</w:t>
      </w:r>
    </w:p>
    <w:p w14:paraId="59E59C10" w14:textId="2AA53C4E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Семестр – </w:t>
      </w:r>
      <w:r w:rsidR="009648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7</w:t>
      </w:r>
    </w:p>
    <w:p w14:paraId="58A0FDA2" w14:textId="3D2ECDA6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Кредит саны – </w:t>
      </w:r>
      <w:r w:rsidR="002B19E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</w:p>
    <w:p w14:paraId="332F184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0C423C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F9C7E8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1AECB9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9C57C3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83BC07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754928B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286A03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1BCF68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94B959B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3B723F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3EC821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3479CB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D5536E9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9285538" w14:textId="65C1A4ED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Алматы – 202</w:t>
      </w:r>
      <w:r w:rsidR="002B19EA" w:rsidRPr="002B19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 ж.</w:t>
      </w:r>
    </w:p>
    <w:p w14:paraId="7B5A379B" w14:textId="77777777" w:rsidR="001A5D13" w:rsidRPr="001A5D13" w:rsidRDefault="001A5D13" w:rsidP="001A5D13">
      <w:pPr>
        <w:widowControl w:val="0"/>
        <w:autoSpaceDE w:val="0"/>
        <w:autoSpaceDN w:val="0"/>
        <w:spacing w:before="68" w:after="0" w:line="242" w:lineRule="auto"/>
        <w:ind w:left="2128" w:right="275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14359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5558942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4237B19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  <w:sectPr w:rsidR="001A5D13" w:rsidRPr="001A5D13" w:rsidSect="00882AF3">
          <w:pgSz w:w="11920" w:h="16850"/>
          <w:pgMar w:top="1040" w:right="740" w:bottom="280" w:left="920" w:header="720" w:footer="720" w:gutter="0"/>
          <w:cols w:space="720"/>
        </w:sectPr>
      </w:pPr>
    </w:p>
    <w:p w14:paraId="6DA5EF5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ӘЗІРЛЕГЕН:</w:t>
      </w:r>
    </w:p>
    <w:p w14:paraId="11DC8B05" w14:textId="4F8A9BCC" w:rsidR="001A5D13" w:rsidRPr="001A5D13" w:rsidRDefault="0093791B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Атахан Нилупар – PhD, аға оқытушы</w:t>
      </w:r>
      <w:r w:rsidR="001A5D13"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, Математика кафедрасы</w:t>
      </w:r>
    </w:p>
    <w:p w14:paraId="54CDF63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6A723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ABAB14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CED9A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881E9F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FA597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F2B6C3" w14:textId="77777777" w:rsidR="00251276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Кафедра мәжілісінде ҚАРАЛДЫ ЖӘНЕ БЕКІТІЛДІ.</w:t>
      </w:r>
    </w:p>
    <w:p w14:paraId="4AEA2A14" w14:textId="21D1751C" w:rsidR="001A5D13" w:rsidRPr="002B19EA" w:rsidRDefault="00251276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29.12.2026 ж., хаттама </w:t>
      </w:r>
      <w:r w:rsidR="001A5D13"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</w:p>
    <w:p w14:paraId="145D1DC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  <w:sectPr w:rsidR="001A5D13" w:rsidRPr="001A5D13">
          <w:pgSz w:w="11920" w:h="16850"/>
          <w:pgMar w:top="1360" w:right="740" w:bottom="280" w:left="920" w:header="720" w:footer="720" w:gutter="0"/>
          <w:cols w:space="720"/>
        </w:sectPr>
      </w:pPr>
    </w:p>
    <w:p w14:paraId="51FDA823" w14:textId="204D8090" w:rsidR="001A5D13" w:rsidRPr="0093791B" w:rsidRDefault="00964811" w:rsidP="002B19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6481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Кіші параметрлі дифференциалдық теңдеулер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1A5D13"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курсы бойынша</w:t>
      </w:r>
    </w:p>
    <w:p w14:paraId="0B28226E" w14:textId="77777777" w:rsidR="001A5D13" w:rsidRPr="0093791B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3791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қорытынды бақылаудың бағдарламасы</w:t>
      </w:r>
    </w:p>
    <w:p w14:paraId="1DBD960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 xml:space="preserve"> оқу жылы</w:t>
      </w:r>
    </w:p>
    <w:p w14:paraId="0D3149A3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E2A372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Факультет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1A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</w:rPr>
        <w:t>Механика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-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</w:rPr>
        <w:t xml:space="preserve">математика </w:t>
      </w:r>
    </w:p>
    <w:p w14:paraId="2FA50CDB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Кафедра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1A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Математика</w:t>
      </w:r>
    </w:p>
    <w:p w14:paraId="69EAE920" w14:textId="70AE7094" w:rsidR="001A5D13" w:rsidRPr="002B19EA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Шифр және оқыту бағдарламасының бағдарламасы</w:t>
      </w:r>
      <w:r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942E7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2E77" w:rsidRPr="00942E7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964811" w:rsidRPr="00964811">
        <w:rPr>
          <w:rFonts w:ascii="Times New Roman" w:hAnsi="Times New Roman" w:cs="Times New Roman"/>
          <w:szCs w:val="24"/>
          <w:lang w:val="kk-KZ"/>
        </w:rPr>
        <w:t>6B05402</w:t>
      </w:r>
      <w:r w:rsidR="00964811" w:rsidRPr="00964811">
        <w:rPr>
          <w:rFonts w:ascii="Times New Roman" w:hAnsi="Times New Roman" w:cs="Times New Roman"/>
          <w:sz w:val="24"/>
          <w:lang w:val="kk-KZ"/>
        </w:rPr>
        <w:t>-</w:t>
      </w:r>
      <w:r w:rsidR="00964811" w:rsidRPr="00964811">
        <w:rPr>
          <w:rFonts w:ascii="Times New Roman" w:hAnsi="Times New Roman" w:cs="Times New Roman"/>
          <w:lang w:val="kk-KZ"/>
        </w:rPr>
        <w:t>Математика</w:t>
      </w:r>
      <w:r w:rsidR="0093791B" w:rsidRPr="0093791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942E77">
        <w:rPr>
          <w:sz w:val="24"/>
          <w:szCs w:val="24"/>
          <w:lang w:val="kk-KZ"/>
        </w:rPr>
        <w:t xml:space="preserve"> </w:t>
      </w:r>
      <w:r w:rsidR="002B19EA" w:rsidRPr="002B19EA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бағдарламалары</w:t>
      </w:r>
    </w:p>
    <w:p w14:paraId="73FE59F9" w14:textId="25A43277" w:rsidR="001A5D13" w:rsidRPr="00964811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Пән атауы:</w:t>
      </w:r>
      <w:r w:rsidRPr="001A5D1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964811" w:rsidRPr="00964811">
        <w:rPr>
          <w:rFonts w:ascii="Times New Roman" w:hAnsi="Times New Roman" w:cs="Times New Roman"/>
          <w:sz w:val="24"/>
          <w:szCs w:val="24"/>
          <w:lang w:val="kk-KZ"/>
        </w:rPr>
        <w:t>Кіші параметрлі дифференциалдық теңдеулер</w:t>
      </w:r>
    </w:p>
    <w:p w14:paraId="7FCE8E21" w14:textId="21D42FE5" w:rsidR="001A5D13" w:rsidRPr="00251276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</w:t>
      </w:r>
      <w:r w:rsidRPr="001A5D1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:</w:t>
      </w:r>
      <w:r w:rsidR="0093791B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</w:p>
    <w:p w14:paraId="322F7EC0" w14:textId="512631A5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Оқытушы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93791B">
        <w:rPr>
          <w:rFonts w:ascii="Times New Roman" w:eastAsia="Times New Roman" w:hAnsi="Times New Roman" w:cs="Times New Roman"/>
          <w:sz w:val="24"/>
          <w:szCs w:val="24"/>
          <w:lang w:val="kk-KZ"/>
        </w:rPr>
        <w:t>Атахан Нилупар – Phd, аға оқытушы</w:t>
      </w:r>
    </w:p>
    <w:p w14:paraId="631E61D7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 пәнінің межелік бақылауының формасы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ауызша: дәстүрлі –сұрақ, жауап.</w:t>
      </w:r>
    </w:p>
    <w:p w14:paraId="1F9C69FF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 формасы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офлайн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4E9B1CE6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Емтихан дайындалған емтихан кестесінде көрсетілген аудиторияда өтеді. </w:t>
      </w:r>
    </w:p>
    <w:p w14:paraId="2FB0856A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1FAEF8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Ұзақтығы – емтихан қабылдау ұзақтығын оқытушы / емтихан комиссиясының мүшелері анықтайды және емтихан басталғанға дейін білім алушыларға хабарлайды (ұсынылатын уақыт: дайындыққа 20 минут, жауап беруге 10 мин.)</w:t>
      </w:r>
    </w:p>
    <w:p w14:paraId="32C3D47A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1DBB1C4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Емтихан билетінде 3 сұрақ болады. Әрбір сұрақтың тұсында жақшаның ішіне пайыздық мөлшерде көрсетілген сәйкес максималды бағасы жазылады. </w:t>
      </w:r>
    </w:p>
    <w:p w14:paraId="2E3855A4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23A2E7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ЕМТИХАН ТӘРТІБІ </w:t>
      </w:r>
    </w:p>
    <w:p w14:paraId="4D16A7A3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білім алушы емтихан кестесінде көрсетілген уақыттан 10 минут бұрын келуі керек. </w:t>
      </w:r>
    </w:p>
    <w:p w14:paraId="7929E87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кешігіп келген білім алушы емтиханға кіргізілмейді. </w:t>
      </w:r>
    </w:p>
    <w:p w14:paraId="57C7E54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өзімен бірге өзінің жеке төлқұжатын, қалам мен қарындаш алып келуі керек. </w:t>
      </w:r>
    </w:p>
    <w:p w14:paraId="2AB4FE03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</w:p>
    <w:p w14:paraId="7C818BA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 </w:t>
      </w:r>
    </w:p>
    <w:p w14:paraId="10D7B2A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алушы емтихан сұрақтарына ескертілген уақыт аралығында дайын болғаннан кейін,  жеке-жеке емтихан комиссиясы мүшелерінің алдына келіп емтихан билетінің сұрақтары бойынша ауызша жауап береді. Жауап парағын білім алушы оқытушыға / емтихан комиссиясының мүшелеріне өткізеді. </w:t>
      </w:r>
    </w:p>
    <w:p w14:paraId="3DEE806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Жауап беріп болған білім алушы аудиториядан шығады.</w:t>
      </w:r>
    </w:p>
    <w:p w14:paraId="01C18674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84FD419" w14:textId="77777777" w:rsidR="001A5D13" w:rsidRPr="001A5D13" w:rsidRDefault="001A5D13" w:rsidP="001A5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14:paraId="2988B99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489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1A5D13" w:rsidRPr="001A5D13" w14:paraId="02FEA22E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5E0F3" w14:textId="77777777" w:rsidR="001A5D13" w:rsidRPr="001A5D13" w:rsidRDefault="001A5D13" w:rsidP="001A5D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3C27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Сандық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эквивалент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81031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(%-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дық мазмұны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2143A" w14:textId="77777777" w:rsidR="001A5D13" w:rsidRPr="001A5D13" w:rsidRDefault="001A5D13" w:rsidP="001A5D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1A5D13" w:rsidRPr="001A5D13" w14:paraId="64CFFDE4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07F8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9161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15C2E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A12CC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Өте жақсы</w:t>
            </w:r>
          </w:p>
        </w:tc>
      </w:tr>
      <w:tr w:rsidR="001A5D13" w:rsidRPr="001A5D13" w14:paraId="43088ECB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BEF3E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5E81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516D7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588A0C5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0B192F78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AE121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B919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D4F8E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1E48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1A5D13" w:rsidRPr="001A5D13" w14:paraId="08F88F79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EBE06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CC531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5E0EA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59C22B00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45E6A5CB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4BAB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C13AA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B2D0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6BEB88A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147BEFE1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333E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A6ED2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A4296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15F9353C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5DAD0CC7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E48BD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9737B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01ECF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ABEF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1A5D13" w:rsidRPr="001A5D13" w14:paraId="587999B6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0229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B8460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20CF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52D88BD7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1991711A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AB674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66A17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0C80D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13A77072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71838BB3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CA1F2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DC74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2230A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44E71E5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173A710B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356A6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00BA0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AD37D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03E7F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1A5D13" w:rsidRPr="001A5D13" w14:paraId="210B6F22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F83D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1CEEF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C7C04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0-24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51E937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53B63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</w:pPr>
    </w:p>
    <w:p w14:paraId="43812F4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</w:p>
    <w:p w14:paraId="4DFF501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Емтихан сұрақтары құрылған тақырыптар (бағдарлама)</w:t>
      </w:r>
    </w:p>
    <w:p w14:paraId="56B177D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</w:p>
    <w:p w14:paraId="02D9C61C" w14:textId="77777777" w:rsidR="00964811" w:rsidRDefault="00964811" w:rsidP="00227E0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B41D1F">
        <w:rPr>
          <w:rFonts w:ascii="Times New Roman" w:hAnsi="Times New Roman" w:cs="Times New Roman"/>
          <w:sz w:val="20"/>
          <w:lang w:val="kk-KZ"/>
        </w:rPr>
        <w:t>Регулярлы және сингулярл</w:t>
      </w:r>
      <w:r>
        <w:rPr>
          <w:rFonts w:ascii="Times New Roman" w:hAnsi="Times New Roman" w:cs="Times New Roman"/>
          <w:sz w:val="20"/>
          <w:lang w:val="kk-KZ"/>
        </w:rPr>
        <w:t>ы ауытқулар. Негізгі түсініктер және анықтамалар</w:t>
      </w:r>
      <w:r w:rsidRPr="00BA6D33">
        <w:rPr>
          <w:rFonts w:ascii="Times New Roman" w:hAnsi="Times New Roman" w:cs="Times New Roman"/>
          <w:sz w:val="24"/>
          <w:lang w:val="kk-KZ"/>
        </w:rPr>
        <w:t xml:space="preserve"> </w:t>
      </w:r>
    </w:p>
    <w:p w14:paraId="7469B61E" w14:textId="77777777" w:rsidR="00964811" w:rsidRDefault="00964811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B67BF2">
        <w:rPr>
          <w:rFonts w:ascii="Times New Roman" w:hAnsi="Times New Roman" w:cs="Times New Roman"/>
          <w:sz w:val="20"/>
          <w:lang w:val="kk-KZ"/>
        </w:rPr>
        <w:t>Регулярлы ауытқыған бастапқы есеп шешімінің асимптотикалық жіктелуі</w:t>
      </w:r>
      <w:r w:rsidRPr="00BA6D33">
        <w:rPr>
          <w:rFonts w:ascii="Times New Roman" w:hAnsi="Times New Roman" w:cs="Times New Roman"/>
          <w:sz w:val="24"/>
          <w:lang w:val="kk-KZ"/>
        </w:rPr>
        <w:t xml:space="preserve"> </w:t>
      </w:r>
    </w:p>
    <w:p w14:paraId="059E7316" w14:textId="167C94A3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BA6D33">
        <w:rPr>
          <w:rFonts w:ascii="Times New Roman" w:hAnsi="Times New Roman" w:cs="Times New Roman"/>
          <w:sz w:val="24"/>
          <w:lang w:val="kk-KZ"/>
        </w:rPr>
        <w:t>Шешімнің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бар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болуы</w:t>
      </w:r>
      <w:r w:rsidRPr="00BA6D33">
        <w:rPr>
          <w:rFonts w:ascii="Times New Roman" w:hAnsi="Times New Roman" w:cs="Times New Roman"/>
          <w:spacing w:val="-1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және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жалғыздығы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(локалды</w:t>
      </w:r>
      <w:r w:rsidRPr="00BA6D33">
        <w:rPr>
          <w:rFonts w:ascii="Times New Roman" w:hAnsi="Times New Roman" w:cs="Times New Roman"/>
          <w:spacing w:val="-1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>теорема)</w:t>
      </w:r>
    </w:p>
    <w:p w14:paraId="2BE2A463" w14:textId="77777777" w:rsidR="00964811" w:rsidRDefault="00964811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0D51A3">
        <w:rPr>
          <w:rFonts w:ascii="Times New Roman" w:hAnsi="Times New Roman" w:cs="Times New Roman"/>
          <w:sz w:val="20"/>
          <w:lang w:val="kk-KZ"/>
        </w:rPr>
        <w:t>Кіші параметр</w:t>
      </w:r>
      <w:r>
        <w:rPr>
          <w:rFonts w:ascii="Times New Roman" w:hAnsi="Times New Roman" w:cs="Times New Roman"/>
          <w:sz w:val="20"/>
          <w:lang w:val="kk-KZ"/>
        </w:rPr>
        <w:t>л</w:t>
      </w:r>
      <w:r w:rsidRPr="000D51A3">
        <w:rPr>
          <w:rFonts w:ascii="Times New Roman" w:hAnsi="Times New Roman" w:cs="Times New Roman"/>
          <w:sz w:val="20"/>
          <w:lang w:val="kk-KZ"/>
        </w:rPr>
        <w:t>і дифференциалдық теңдеулерге арналған бастапқы секірісі жоқ Коши есебінің қойылуы. Біртекті дифференциалдық теңдеудің іргелі шешімдер жүйесі</w:t>
      </w:r>
      <w:r w:rsidRPr="00BA6D33">
        <w:rPr>
          <w:rFonts w:ascii="Times New Roman" w:hAnsi="Times New Roman" w:cs="Times New Roman"/>
          <w:sz w:val="24"/>
        </w:rPr>
        <w:t xml:space="preserve"> </w:t>
      </w:r>
    </w:p>
    <w:p w14:paraId="3C3E78AA" w14:textId="6091043E" w:rsidR="00BA6D33" w:rsidRPr="00964811" w:rsidRDefault="00964811" w:rsidP="00964811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964811">
        <w:rPr>
          <w:rFonts w:ascii="Times New Roman" w:hAnsi="Times New Roman" w:cs="Times New Roman"/>
          <w:sz w:val="20"/>
          <w:szCs w:val="20"/>
          <w:lang w:val="kk-KZ"/>
        </w:rPr>
        <w:t>Кіші параметрлі б</w:t>
      </w:r>
      <w:r w:rsidRPr="00964811">
        <w:rPr>
          <w:rFonts w:ascii="Times New Roman" w:hAnsi="Times New Roman" w:cs="Times New Roman"/>
          <w:sz w:val="20"/>
          <w:lang w:val="kk-KZ"/>
        </w:rPr>
        <w:t xml:space="preserve">іртекті дифференциалдық теңдеудің </w:t>
      </w:r>
      <w:r w:rsidRPr="00964811">
        <w:rPr>
          <w:rFonts w:ascii="Times New Roman" w:hAnsi="Times New Roman" w:cs="Times New Roman"/>
          <w:sz w:val="20"/>
          <w:szCs w:val="20"/>
          <w:lang w:val="kk-KZ"/>
        </w:rPr>
        <w:t>бастапқы функциялары</w:t>
      </w:r>
      <w:r w:rsidR="00BA6D33" w:rsidRPr="00964811">
        <w:rPr>
          <w:rFonts w:ascii="Times New Roman" w:hAnsi="Times New Roman" w:cs="Times New Roman"/>
          <w:sz w:val="24"/>
          <w:lang w:val="kk-KZ"/>
        </w:rPr>
        <w:t xml:space="preserve"> Тұрақты</w:t>
      </w:r>
      <w:r w:rsidR="00BA6D33" w:rsidRPr="00964811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="00BA6D33" w:rsidRPr="00964811">
        <w:rPr>
          <w:rFonts w:ascii="Times New Roman" w:hAnsi="Times New Roman" w:cs="Times New Roman"/>
          <w:sz w:val="24"/>
          <w:lang w:val="kk-KZ"/>
        </w:rPr>
        <w:t>коэффициентті</w:t>
      </w:r>
      <w:r w:rsidR="00BA6D33" w:rsidRPr="00964811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="00BA6D33" w:rsidRPr="00964811">
        <w:rPr>
          <w:rFonts w:ascii="Times New Roman" w:hAnsi="Times New Roman" w:cs="Times New Roman"/>
          <w:sz w:val="24"/>
          <w:lang w:val="kk-KZ"/>
        </w:rPr>
        <w:t>сызықты</w:t>
      </w:r>
      <w:r w:rsidR="00BA6D33" w:rsidRPr="00964811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="00BA6D33" w:rsidRPr="00964811">
        <w:rPr>
          <w:rFonts w:ascii="Times New Roman" w:hAnsi="Times New Roman" w:cs="Times New Roman"/>
          <w:sz w:val="24"/>
          <w:lang w:val="kk-KZ"/>
        </w:rPr>
        <w:t>жүйелерді</w:t>
      </w:r>
      <w:r w:rsidR="00BA6D33" w:rsidRPr="00964811">
        <w:rPr>
          <w:rFonts w:ascii="Times New Roman" w:hAnsi="Times New Roman" w:cs="Times New Roman"/>
          <w:spacing w:val="-2"/>
          <w:sz w:val="24"/>
          <w:lang w:val="kk-KZ"/>
        </w:rPr>
        <w:t xml:space="preserve"> интегралдау</w:t>
      </w:r>
    </w:p>
    <w:p w14:paraId="4B91097B" w14:textId="359720CA" w:rsidR="00BA6D33" w:rsidRPr="00964811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964811">
        <w:rPr>
          <w:rFonts w:ascii="Times New Roman" w:hAnsi="Times New Roman" w:cs="Times New Roman"/>
          <w:sz w:val="20"/>
          <w:szCs w:val="20"/>
          <w:lang w:val="kk-KZ"/>
        </w:rPr>
        <w:t>Кіші параметрлі д</w:t>
      </w:r>
      <w:r w:rsidR="00964811" w:rsidRPr="00461E09">
        <w:rPr>
          <w:rFonts w:ascii="Times New Roman" w:hAnsi="Times New Roman" w:cs="Times New Roman"/>
          <w:sz w:val="20"/>
          <w:lang w:val="kk-KZ"/>
        </w:rPr>
        <w:t xml:space="preserve">ифференциалдық теңдеулерге арналған </w:t>
      </w:r>
      <w:r w:rsidR="00964811">
        <w:rPr>
          <w:rFonts w:ascii="Times New Roman" w:hAnsi="Times New Roman" w:cs="Times New Roman"/>
          <w:sz w:val="20"/>
          <w:lang w:val="kk-KZ"/>
        </w:rPr>
        <w:t>бастапқы секірісі жоқ Коши есебі</w:t>
      </w:r>
      <w:r w:rsidR="00964811" w:rsidRPr="00461E09">
        <w:rPr>
          <w:rFonts w:ascii="Times New Roman" w:hAnsi="Times New Roman" w:cs="Times New Roman"/>
          <w:sz w:val="20"/>
          <w:lang w:val="kk-KZ"/>
        </w:rPr>
        <w:t xml:space="preserve"> шешімінің аналитикалық формуласы</w:t>
      </w:r>
    </w:p>
    <w:p w14:paraId="01D1A7B3" w14:textId="790B370B" w:rsidR="00964811" w:rsidRPr="00964811" w:rsidRDefault="00964811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Кіші параметрлі д</w:t>
      </w:r>
      <w:r w:rsidRPr="00461E09">
        <w:rPr>
          <w:rFonts w:ascii="Times New Roman" w:hAnsi="Times New Roman" w:cs="Times New Roman"/>
          <w:sz w:val="20"/>
          <w:lang w:val="kk-KZ"/>
        </w:rPr>
        <w:t xml:space="preserve">ифференциалдық теңдеулерге арналған </w:t>
      </w:r>
      <w:r>
        <w:rPr>
          <w:rFonts w:ascii="Times New Roman" w:hAnsi="Times New Roman" w:cs="Times New Roman"/>
          <w:sz w:val="20"/>
          <w:lang w:val="kk-KZ"/>
        </w:rPr>
        <w:t>бастапқы секірісі жоқ Коши есебі</w:t>
      </w:r>
      <w:r w:rsidRPr="00461E09">
        <w:rPr>
          <w:rFonts w:ascii="Times New Roman" w:hAnsi="Times New Roman" w:cs="Times New Roman"/>
          <w:sz w:val="20"/>
          <w:lang w:val="kk-KZ"/>
        </w:rPr>
        <w:t xml:space="preserve"> шешімінің а</w:t>
      </w:r>
      <w:r>
        <w:rPr>
          <w:rFonts w:ascii="Times New Roman" w:hAnsi="Times New Roman" w:cs="Times New Roman"/>
          <w:sz w:val="20"/>
          <w:lang w:val="kk-KZ"/>
        </w:rPr>
        <w:t>симптотикалық бағалауы</w:t>
      </w:r>
    </w:p>
    <w:p w14:paraId="162595FE" w14:textId="594FA0A8" w:rsidR="00BA6D33" w:rsidRPr="00964811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964811" w:rsidRPr="004F1DE0">
        <w:rPr>
          <w:rFonts w:ascii="Times New Roman" w:hAnsi="Times New Roman" w:cs="Times New Roman"/>
          <w:sz w:val="20"/>
          <w:szCs w:val="20"/>
          <w:lang w:val="kk-KZ"/>
        </w:rPr>
        <w:t xml:space="preserve">Кіші параметрлі дифференциалдық теңдеуге арналған </w:t>
      </w:r>
      <w:r w:rsidR="00964811">
        <w:rPr>
          <w:rFonts w:ascii="Times New Roman" w:hAnsi="Times New Roman" w:cs="Times New Roman"/>
          <w:sz w:val="20"/>
          <w:szCs w:val="20"/>
          <w:lang w:val="kk-KZ"/>
        </w:rPr>
        <w:t xml:space="preserve">бастапқы секірісі жоқ </w:t>
      </w:r>
      <w:r w:rsidR="00964811" w:rsidRPr="004F1DE0">
        <w:rPr>
          <w:rFonts w:ascii="Times New Roman" w:hAnsi="Times New Roman" w:cs="Times New Roman"/>
          <w:sz w:val="20"/>
          <w:szCs w:val="20"/>
          <w:lang w:val="kk-KZ"/>
        </w:rPr>
        <w:t>Коши есебі м</w:t>
      </w:r>
      <w:r w:rsidR="00964811">
        <w:rPr>
          <w:rFonts w:ascii="Times New Roman" w:hAnsi="Times New Roman" w:cs="Times New Roman"/>
          <w:sz w:val="20"/>
          <w:lang w:val="kk-KZ"/>
        </w:rPr>
        <w:t xml:space="preserve">ен сәйкес </w:t>
      </w:r>
      <w:r w:rsidR="00964811" w:rsidRPr="0000459C">
        <w:rPr>
          <w:rFonts w:ascii="Times New Roman" w:hAnsi="Times New Roman" w:cs="Times New Roman"/>
          <w:sz w:val="20"/>
          <w:lang w:val="kk-KZ"/>
        </w:rPr>
        <w:t>ауытқымаған есеп</w:t>
      </w:r>
      <w:r w:rsidR="00964811">
        <w:rPr>
          <w:rFonts w:ascii="Times New Roman" w:hAnsi="Times New Roman" w:cs="Times New Roman"/>
          <w:sz w:val="20"/>
          <w:lang w:val="kk-KZ"/>
        </w:rPr>
        <w:t xml:space="preserve"> шешімдерінің айырымын бағалау</w:t>
      </w:r>
    </w:p>
    <w:p w14:paraId="3AF7F0BD" w14:textId="409026A3" w:rsidR="00BA6D33" w:rsidRPr="00964811" w:rsidRDefault="00964811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4F1DE0">
        <w:rPr>
          <w:rFonts w:ascii="Times New Roman" w:hAnsi="Times New Roman" w:cs="Times New Roman"/>
          <w:sz w:val="20"/>
          <w:szCs w:val="20"/>
          <w:lang w:val="kk-KZ"/>
        </w:rPr>
        <w:t xml:space="preserve">Кіші параметрлі дифференциалдық теңдеуге арналған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бастапқы секірісі жоқ </w:t>
      </w:r>
      <w:r w:rsidRPr="004F1DE0">
        <w:rPr>
          <w:rFonts w:ascii="Times New Roman" w:hAnsi="Times New Roman" w:cs="Times New Roman"/>
          <w:sz w:val="20"/>
          <w:szCs w:val="20"/>
          <w:lang w:val="kk-KZ"/>
        </w:rPr>
        <w:t xml:space="preserve">Коши есебі </w:t>
      </w:r>
      <w:r>
        <w:rPr>
          <w:rFonts w:ascii="Times New Roman" w:hAnsi="Times New Roman" w:cs="Times New Roman"/>
          <w:sz w:val="20"/>
          <w:lang w:val="kk-KZ"/>
        </w:rPr>
        <w:t>шешімінің асимптотикалық жіктелуі</w:t>
      </w:r>
    </w:p>
    <w:p w14:paraId="7D1C4332" w14:textId="77777777" w:rsidR="00964811" w:rsidRPr="00964811" w:rsidRDefault="00964811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4F1DE0">
        <w:rPr>
          <w:rFonts w:ascii="Times New Roman" w:hAnsi="Times New Roman" w:cs="Times New Roman"/>
          <w:sz w:val="20"/>
          <w:szCs w:val="20"/>
          <w:lang w:val="kk-KZ"/>
        </w:rPr>
        <w:t xml:space="preserve">Кіші параметрлі дифференциалдық теңдеуге арналған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бастапқы секірісі жоқ Коши есебі </w:t>
      </w:r>
      <w:r w:rsidRPr="00DD7CD5">
        <w:rPr>
          <w:rFonts w:ascii="Times New Roman" w:hAnsi="Times New Roman" w:cs="Times New Roman"/>
          <w:sz w:val="20"/>
          <w:lang w:val="kk-KZ"/>
        </w:rPr>
        <w:t>шешімінің асимптотикасының қалдық мүшесін бағалау</w:t>
      </w:r>
      <w:r w:rsidRPr="00964811">
        <w:rPr>
          <w:rFonts w:ascii="Times New Roman" w:hAnsi="Times New Roman" w:cs="Times New Roman"/>
          <w:i/>
          <w:sz w:val="24"/>
          <w:lang w:val="kk-KZ"/>
        </w:rPr>
        <w:t xml:space="preserve"> </w:t>
      </w:r>
    </w:p>
    <w:p w14:paraId="2848A263" w14:textId="77777777" w:rsidR="00964811" w:rsidRDefault="00964811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Кіші параметрлі д</w:t>
      </w:r>
      <w:r w:rsidRPr="00461E09">
        <w:rPr>
          <w:rFonts w:ascii="Times New Roman" w:hAnsi="Times New Roman" w:cs="Times New Roman"/>
          <w:sz w:val="20"/>
          <w:lang w:val="kk-KZ"/>
        </w:rPr>
        <w:t xml:space="preserve">ифференциалдық теңдеулерге арналған </w:t>
      </w:r>
      <w:r>
        <w:rPr>
          <w:rFonts w:ascii="Times New Roman" w:hAnsi="Times New Roman" w:cs="Times New Roman"/>
          <w:sz w:val="20"/>
          <w:szCs w:val="20"/>
          <w:lang w:val="kk-KZ"/>
        </w:rPr>
        <w:t>бастапқы секірісті  Коши есебі</w:t>
      </w:r>
      <w:r w:rsidRPr="00964811">
        <w:rPr>
          <w:rFonts w:ascii="Times New Roman" w:hAnsi="Times New Roman" w:cs="Times New Roman"/>
          <w:sz w:val="24"/>
          <w:lang w:val="kk-KZ"/>
        </w:rPr>
        <w:t xml:space="preserve"> </w:t>
      </w:r>
    </w:p>
    <w:p w14:paraId="69F6C8A3" w14:textId="77777777" w:rsidR="00964811" w:rsidRDefault="00964811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4F1DE0">
        <w:rPr>
          <w:rFonts w:ascii="Times New Roman" w:hAnsi="Times New Roman" w:cs="Times New Roman"/>
          <w:sz w:val="20"/>
          <w:szCs w:val="20"/>
          <w:lang w:val="kk-KZ"/>
        </w:rPr>
        <w:t xml:space="preserve">Кіші параметрлі дифференциалдық теңдеуге арналған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бастапқы секірісті </w:t>
      </w:r>
      <w:r w:rsidRPr="004F1DE0">
        <w:rPr>
          <w:rFonts w:ascii="Times New Roman" w:hAnsi="Times New Roman" w:cs="Times New Roman"/>
          <w:sz w:val="20"/>
          <w:szCs w:val="20"/>
          <w:lang w:val="kk-KZ"/>
        </w:rPr>
        <w:t>Коши есебі м</w:t>
      </w:r>
      <w:r>
        <w:rPr>
          <w:rFonts w:ascii="Times New Roman" w:hAnsi="Times New Roman" w:cs="Times New Roman"/>
          <w:sz w:val="20"/>
          <w:lang w:val="kk-KZ"/>
        </w:rPr>
        <w:t xml:space="preserve">ен сәйкес </w:t>
      </w:r>
      <w:r w:rsidRPr="0000459C">
        <w:rPr>
          <w:rFonts w:ascii="Times New Roman" w:hAnsi="Times New Roman" w:cs="Times New Roman"/>
          <w:sz w:val="20"/>
          <w:lang w:val="kk-KZ"/>
        </w:rPr>
        <w:t>ауытқымаған есеп</w:t>
      </w:r>
      <w:r>
        <w:rPr>
          <w:rFonts w:ascii="Times New Roman" w:hAnsi="Times New Roman" w:cs="Times New Roman"/>
          <w:sz w:val="20"/>
          <w:lang w:val="kk-KZ"/>
        </w:rPr>
        <w:t xml:space="preserve"> шешімдерінің айырымын бағалау</w:t>
      </w:r>
      <w:r w:rsidRPr="00964811">
        <w:rPr>
          <w:rFonts w:ascii="Times New Roman" w:hAnsi="Times New Roman" w:cs="Times New Roman"/>
          <w:sz w:val="24"/>
          <w:lang w:val="kk-KZ"/>
        </w:rPr>
        <w:t xml:space="preserve"> </w:t>
      </w:r>
    </w:p>
    <w:p w14:paraId="3A110332" w14:textId="4613DF73" w:rsidR="00964811" w:rsidRPr="00964811" w:rsidRDefault="00964811" w:rsidP="008A4F7D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64811">
        <w:rPr>
          <w:rFonts w:ascii="Times New Roman" w:hAnsi="Times New Roman" w:cs="Times New Roman"/>
          <w:sz w:val="20"/>
          <w:szCs w:val="20"/>
          <w:lang w:val="kk-KZ"/>
        </w:rPr>
        <w:t>Кіші параметрлі д</w:t>
      </w:r>
      <w:r w:rsidRPr="00964811">
        <w:rPr>
          <w:rFonts w:ascii="Times New Roman" w:hAnsi="Times New Roman" w:cs="Times New Roman"/>
          <w:sz w:val="20"/>
          <w:lang w:val="kk-KZ"/>
        </w:rPr>
        <w:t xml:space="preserve">ифференциалдық теңдеулерге арналған </w:t>
      </w:r>
      <w:r w:rsidRPr="00964811">
        <w:rPr>
          <w:rFonts w:ascii="Times New Roman" w:hAnsi="Times New Roman" w:cs="Times New Roman"/>
          <w:sz w:val="20"/>
          <w:szCs w:val="20"/>
          <w:lang w:val="kk-KZ"/>
        </w:rPr>
        <w:t>бастапқы секірісті Коши есебі</w:t>
      </w:r>
      <w:r w:rsidRPr="00964811">
        <w:rPr>
          <w:rFonts w:ascii="Times New Roman" w:hAnsi="Times New Roman" w:cs="Times New Roman"/>
          <w:sz w:val="20"/>
          <w:lang w:val="kk-KZ"/>
        </w:rPr>
        <w:t xml:space="preserve"> шешімінің бастапқы секірісі және оның реті</w:t>
      </w:r>
    </w:p>
    <w:p w14:paraId="03701566" w14:textId="1F01AE1F" w:rsidR="00964811" w:rsidRPr="00964811" w:rsidRDefault="00964811" w:rsidP="008A4F7D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4F1DE0">
        <w:rPr>
          <w:rFonts w:ascii="Times New Roman" w:hAnsi="Times New Roman" w:cs="Times New Roman"/>
          <w:sz w:val="20"/>
          <w:szCs w:val="20"/>
          <w:lang w:val="kk-KZ"/>
        </w:rPr>
        <w:t xml:space="preserve">Кіші параметрлі дифференциалдық теңдеуге арналған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бастапқы секірісті </w:t>
      </w:r>
      <w:r w:rsidRPr="004F1DE0">
        <w:rPr>
          <w:rFonts w:ascii="Times New Roman" w:hAnsi="Times New Roman" w:cs="Times New Roman"/>
          <w:sz w:val="20"/>
          <w:szCs w:val="20"/>
          <w:lang w:val="kk-KZ"/>
        </w:rPr>
        <w:t xml:space="preserve">Коши есебі </w:t>
      </w:r>
      <w:r>
        <w:rPr>
          <w:rFonts w:ascii="Times New Roman" w:hAnsi="Times New Roman" w:cs="Times New Roman"/>
          <w:sz w:val="20"/>
          <w:lang w:val="kk-KZ"/>
        </w:rPr>
        <w:t>шешімінің асимптотикалық жіктелуі</w:t>
      </w:r>
    </w:p>
    <w:p w14:paraId="1E818C91" w14:textId="485A9769" w:rsidR="00964811" w:rsidRPr="00964811" w:rsidRDefault="00964811" w:rsidP="008A4F7D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4F1DE0">
        <w:rPr>
          <w:rFonts w:ascii="Times New Roman" w:hAnsi="Times New Roman" w:cs="Times New Roman"/>
          <w:sz w:val="20"/>
          <w:szCs w:val="20"/>
          <w:lang w:val="kk-KZ"/>
        </w:rPr>
        <w:t xml:space="preserve">Кіші параметрлі дифференциалдық теңдеуге арналған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бастапқы секірісті </w:t>
      </w:r>
      <w:r w:rsidRPr="004F1DE0">
        <w:rPr>
          <w:rFonts w:ascii="Times New Roman" w:hAnsi="Times New Roman" w:cs="Times New Roman"/>
          <w:sz w:val="20"/>
          <w:szCs w:val="20"/>
          <w:lang w:val="kk-KZ"/>
        </w:rPr>
        <w:t>Коши есебі</w:t>
      </w:r>
      <w:r>
        <w:rPr>
          <w:rFonts w:ascii="Times New Roman" w:hAnsi="Times New Roman" w:cs="Times New Roman"/>
          <w:sz w:val="20"/>
          <w:lang w:val="kk-KZ"/>
        </w:rPr>
        <w:t xml:space="preserve"> шешімінің асимптотикасының қалдық мүшесін бағалау</w:t>
      </w:r>
      <w:bookmarkStart w:id="0" w:name="_GoBack"/>
      <w:bookmarkEnd w:id="0"/>
    </w:p>
    <w:p w14:paraId="5FBFF3A0" w14:textId="77777777" w:rsidR="008A4F7D" w:rsidRPr="008A4F7D" w:rsidRDefault="008A4F7D" w:rsidP="008A4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0DF69F" w14:textId="52C3FD87" w:rsidR="001A5D13" w:rsidRPr="008A4F7D" w:rsidRDefault="001A5D13" w:rsidP="008A4F7D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A4F7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ҰСЫНЫЛҒАН ӘДЕБИЕТТЕР</w:t>
      </w:r>
    </w:p>
    <w:p w14:paraId="1ECF47DB" w14:textId="709E9F5D" w:rsidR="002B19EA" w:rsidRPr="00964811" w:rsidRDefault="002B19EA" w:rsidP="002B1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6481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Негізгі әдебиеттер:</w:t>
      </w:r>
    </w:p>
    <w:p w14:paraId="74575F1A" w14:textId="77777777" w:rsidR="00964811" w:rsidRDefault="00964811" w:rsidP="00964811">
      <w:pPr>
        <w:pStyle w:val="a8"/>
        <w:numPr>
          <w:ilvl w:val="0"/>
          <w:numId w:val="3"/>
        </w:numPr>
        <w:ind w:left="317" w:hanging="317"/>
        <w:jc w:val="both"/>
        <w:rPr>
          <w:rFonts w:ascii="Times New Roman" w:hAnsi="Times New Roman" w:cs="Times New Roman"/>
          <w:sz w:val="18"/>
          <w:szCs w:val="20"/>
        </w:rPr>
      </w:pPr>
      <w:r w:rsidRPr="00E118B2">
        <w:rPr>
          <w:rFonts w:ascii="Times New Roman" w:hAnsi="Times New Roman" w:cs="Times New Roman"/>
          <w:bCs/>
          <w:sz w:val="20"/>
        </w:rPr>
        <w:t>Васильева А.Б., Бутузов В.Ф. Асимптотические разложения решений сингулярно возмущенных уравнений</w:t>
      </w:r>
      <w:r w:rsidRPr="00E118B2">
        <w:rPr>
          <w:rFonts w:ascii="Times New Roman" w:hAnsi="Times New Roman" w:cs="Times New Roman"/>
          <w:sz w:val="20"/>
        </w:rPr>
        <w:t xml:space="preserve"> М: Наука. 1973.</w:t>
      </w:r>
      <w:r w:rsidRPr="00E118B2">
        <w:rPr>
          <w:rFonts w:ascii="Times New Roman" w:hAnsi="Times New Roman" w:cs="Times New Roman"/>
          <w:sz w:val="20"/>
          <w:lang w:val="kk-KZ"/>
        </w:rPr>
        <w:t xml:space="preserve"> </w:t>
      </w:r>
      <w:r w:rsidRPr="00E118B2">
        <w:rPr>
          <w:rFonts w:ascii="Times New Roman" w:hAnsi="Times New Roman" w:cs="Times New Roman"/>
          <w:sz w:val="20"/>
        </w:rPr>
        <w:t xml:space="preserve">- 272 с. </w:t>
      </w:r>
      <w:r w:rsidRPr="00E118B2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56E86D11" w14:textId="77777777" w:rsidR="00964811" w:rsidRPr="00E118B2" w:rsidRDefault="00964811" w:rsidP="00964811">
      <w:pPr>
        <w:pStyle w:val="a8"/>
        <w:numPr>
          <w:ilvl w:val="0"/>
          <w:numId w:val="3"/>
        </w:numPr>
        <w:ind w:left="317" w:hanging="317"/>
        <w:jc w:val="both"/>
        <w:rPr>
          <w:rFonts w:ascii="Times New Roman" w:hAnsi="Times New Roman" w:cs="Times New Roman"/>
          <w:sz w:val="18"/>
          <w:szCs w:val="20"/>
        </w:rPr>
      </w:pPr>
      <w:r w:rsidRPr="00E118B2">
        <w:rPr>
          <w:rFonts w:ascii="Times New Roman" w:hAnsi="Times New Roman" w:cs="Times New Roman"/>
          <w:bCs/>
          <w:sz w:val="20"/>
        </w:rPr>
        <w:t>Васильева А.Б., Бутузов В.Ф. Асимптотические методы в теории сингулярных возмущений.</w:t>
      </w:r>
      <w:r w:rsidRPr="00E118B2">
        <w:rPr>
          <w:rFonts w:ascii="Times New Roman" w:hAnsi="Times New Roman" w:cs="Times New Roman"/>
          <w:sz w:val="20"/>
        </w:rPr>
        <w:t xml:space="preserve"> М: Высш. Шк. 1990.</w:t>
      </w:r>
      <w:r w:rsidRPr="00E118B2">
        <w:rPr>
          <w:rFonts w:ascii="Times New Roman" w:hAnsi="Times New Roman" w:cs="Times New Roman"/>
          <w:sz w:val="20"/>
          <w:lang w:val="kk-KZ"/>
        </w:rPr>
        <w:t xml:space="preserve"> </w:t>
      </w:r>
      <w:r w:rsidRPr="00E118B2">
        <w:rPr>
          <w:rFonts w:ascii="Times New Roman" w:hAnsi="Times New Roman" w:cs="Times New Roman"/>
          <w:sz w:val="20"/>
        </w:rPr>
        <w:t xml:space="preserve">- 208 с. </w:t>
      </w:r>
    </w:p>
    <w:p w14:paraId="2DAD127F" w14:textId="77777777" w:rsidR="00964811" w:rsidRPr="00E118B2" w:rsidRDefault="00964811" w:rsidP="00964811">
      <w:pPr>
        <w:pStyle w:val="a8"/>
        <w:numPr>
          <w:ilvl w:val="0"/>
          <w:numId w:val="3"/>
        </w:numPr>
        <w:ind w:left="317" w:hanging="317"/>
        <w:jc w:val="both"/>
        <w:rPr>
          <w:rFonts w:ascii="Times New Roman" w:hAnsi="Times New Roman" w:cs="Times New Roman"/>
          <w:sz w:val="18"/>
          <w:szCs w:val="20"/>
        </w:rPr>
      </w:pPr>
      <w:r w:rsidRPr="00E118B2">
        <w:rPr>
          <w:rFonts w:ascii="Times New Roman" w:hAnsi="Times New Roman" w:cs="Times New Roman"/>
          <w:sz w:val="20"/>
          <w:lang w:val="kk-KZ"/>
        </w:rPr>
        <w:t xml:space="preserve">Ломов С.А.  Введение в общую теорию сингулярных возмущений. Москва: «Наука», 1981, c. 350. </w:t>
      </w:r>
    </w:p>
    <w:p w14:paraId="63AB6C80" w14:textId="77777777" w:rsidR="00964811" w:rsidRPr="00E118B2" w:rsidRDefault="00964811" w:rsidP="00964811">
      <w:pPr>
        <w:pStyle w:val="a8"/>
        <w:numPr>
          <w:ilvl w:val="0"/>
          <w:numId w:val="3"/>
        </w:numPr>
        <w:ind w:left="317" w:hanging="317"/>
        <w:jc w:val="both"/>
        <w:rPr>
          <w:rFonts w:ascii="Times New Roman" w:hAnsi="Times New Roman" w:cs="Times New Roman"/>
          <w:sz w:val="18"/>
          <w:szCs w:val="20"/>
        </w:rPr>
      </w:pPr>
      <w:r w:rsidRPr="00E118B2">
        <w:rPr>
          <w:rFonts w:ascii="Times New Roman" w:hAnsi="Times New Roman" w:cs="Times New Roman"/>
          <w:sz w:val="20"/>
          <w:lang w:val="kk-KZ"/>
        </w:rPr>
        <w:t xml:space="preserve">Касымов К.А. Линейные сингулярно возмущенные дифференциальные уравнения второго порядка. Алматы, 1981г., 112с. </w:t>
      </w:r>
    </w:p>
    <w:p w14:paraId="426E4696" w14:textId="77777777" w:rsidR="00964811" w:rsidRPr="005C11E6" w:rsidRDefault="00964811" w:rsidP="00964811">
      <w:pPr>
        <w:pStyle w:val="a8"/>
        <w:numPr>
          <w:ilvl w:val="0"/>
          <w:numId w:val="3"/>
        </w:numPr>
        <w:ind w:left="317" w:hanging="317"/>
        <w:jc w:val="both"/>
        <w:rPr>
          <w:rFonts w:ascii="Times New Roman" w:hAnsi="Times New Roman" w:cs="Times New Roman"/>
          <w:sz w:val="18"/>
          <w:szCs w:val="20"/>
          <w:lang w:val="en-US"/>
        </w:rPr>
      </w:pPr>
      <w:r w:rsidRPr="00E118B2">
        <w:rPr>
          <w:rFonts w:ascii="Times New Roman" w:hAnsi="Times New Roman" w:cs="Times New Roman"/>
          <w:sz w:val="20"/>
          <w:lang w:val="kk-KZ"/>
        </w:rPr>
        <w:t xml:space="preserve">O'Malley, Singular perturbations methods for ordinary differential equations, Springer-Verlag, Berlin, Heidelberg, New York, 1991. </w:t>
      </w:r>
    </w:p>
    <w:p w14:paraId="1B96CB66" w14:textId="77777777" w:rsidR="00964811" w:rsidRPr="005C11E6" w:rsidRDefault="00964811" w:rsidP="00964811">
      <w:pPr>
        <w:pStyle w:val="a8"/>
        <w:numPr>
          <w:ilvl w:val="0"/>
          <w:numId w:val="3"/>
        </w:numPr>
        <w:ind w:left="317" w:hanging="317"/>
        <w:jc w:val="both"/>
        <w:rPr>
          <w:rFonts w:ascii="Times New Roman" w:hAnsi="Times New Roman" w:cs="Times New Roman"/>
          <w:sz w:val="18"/>
          <w:szCs w:val="20"/>
          <w:lang w:val="en-US"/>
        </w:rPr>
      </w:pPr>
      <w:r w:rsidRPr="005C11E6">
        <w:rPr>
          <w:rFonts w:ascii="Times New Roman" w:hAnsi="Times New Roman" w:cs="Times New Roman"/>
          <w:sz w:val="20"/>
          <w:lang w:val="kk-KZ"/>
        </w:rPr>
        <w:t xml:space="preserve">Holmes, M. H. Introduction to Perturbation Methods. Texts in Applied Mathematics,  Springer-Verlag, New York, 1995. </w:t>
      </w:r>
    </w:p>
    <w:p w14:paraId="0305D8E8" w14:textId="77777777" w:rsidR="00964811" w:rsidRPr="005C11E6" w:rsidRDefault="00964811" w:rsidP="00964811">
      <w:pPr>
        <w:pStyle w:val="a8"/>
        <w:numPr>
          <w:ilvl w:val="0"/>
          <w:numId w:val="3"/>
        </w:numPr>
        <w:ind w:left="317" w:hanging="317"/>
        <w:jc w:val="both"/>
        <w:rPr>
          <w:rFonts w:ascii="Times New Roman" w:hAnsi="Times New Roman" w:cs="Times New Roman"/>
          <w:sz w:val="18"/>
          <w:szCs w:val="20"/>
          <w:lang w:val="en-US"/>
        </w:rPr>
      </w:pPr>
      <w:r w:rsidRPr="005C11E6">
        <w:rPr>
          <w:rFonts w:ascii="Times New Roman" w:hAnsi="Times New Roman" w:cs="Times New Roman"/>
          <w:sz w:val="20"/>
          <w:lang w:val="kk-KZ"/>
        </w:rPr>
        <w:t xml:space="preserve">Verhulst, F. Methods and applications of singular perturbations: Boundary layers and multiple timescale dynamics. Texts in Applied Mathematics, 50. Springer, New York, 2005.  </w:t>
      </w:r>
    </w:p>
    <w:p w14:paraId="125EEF63" w14:textId="77777777" w:rsidR="00964811" w:rsidRPr="005C11E6" w:rsidRDefault="00964811" w:rsidP="00964811">
      <w:pPr>
        <w:pStyle w:val="a8"/>
        <w:numPr>
          <w:ilvl w:val="0"/>
          <w:numId w:val="3"/>
        </w:numPr>
        <w:ind w:left="317" w:hanging="317"/>
        <w:jc w:val="both"/>
        <w:rPr>
          <w:rFonts w:ascii="Times New Roman" w:hAnsi="Times New Roman" w:cs="Times New Roman"/>
          <w:sz w:val="18"/>
          <w:szCs w:val="20"/>
          <w:lang w:val="en-US"/>
        </w:rPr>
      </w:pPr>
      <w:r w:rsidRPr="005C11E6">
        <w:rPr>
          <w:rFonts w:ascii="Times New Roman" w:hAnsi="Times New Roman" w:cs="Times New Roman"/>
          <w:sz w:val="20"/>
          <w:lang w:val="kk-KZ"/>
        </w:rPr>
        <w:t>White, R. B. Asymptotic Analysis of Differential Equations, Imperial College Press, London, 2005</w:t>
      </w:r>
      <w:r w:rsidRPr="005C11E6">
        <w:rPr>
          <w:lang w:val="kk-KZ"/>
        </w:rPr>
        <w:t xml:space="preserve">. </w:t>
      </w:r>
    </w:p>
    <w:p w14:paraId="5F1257CC" w14:textId="77777777" w:rsidR="00964811" w:rsidRPr="00964811" w:rsidRDefault="00964811" w:rsidP="00964811">
      <w:pPr>
        <w:pStyle w:val="a8"/>
        <w:numPr>
          <w:ilvl w:val="0"/>
          <w:numId w:val="3"/>
        </w:numPr>
        <w:ind w:left="317" w:hanging="317"/>
        <w:rPr>
          <w:rFonts w:ascii="Times New Roman" w:hAnsi="Times New Roman" w:cs="Times New Roman"/>
          <w:sz w:val="18"/>
          <w:szCs w:val="20"/>
        </w:rPr>
      </w:pPr>
      <w:r w:rsidRPr="005C11E6">
        <w:rPr>
          <w:rFonts w:ascii="Times New Roman" w:hAnsi="Times New Roman" w:cs="Times New Roman"/>
          <w:sz w:val="20"/>
          <w:lang w:val="kk-KZ"/>
        </w:rPr>
        <w:t xml:space="preserve">Hinch, E. J. Perturbation methods. Cambridge Texts in Applied Mathematics. Cambridge University Press, Cambridge, 1991. </w:t>
      </w:r>
    </w:p>
    <w:p w14:paraId="262BF77F" w14:textId="77777777" w:rsidR="00964811" w:rsidRPr="00964811" w:rsidRDefault="00964811" w:rsidP="00964811">
      <w:pPr>
        <w:pStyle w:val="a8"/>
        <w:numPr>
          <w:ilvl w:val="0"/>
          <w:numId w:val="3"/>
        </w:numPr>
        <w:ind w:left="317" w:hanging="317"/>
        <w:rPr>
          <w:rFonts w:ascii="Times New Roman" w:hAnsi="Times New Roman" w:cs="Times New Roman"/>
          <w:sz w:val="18"/>
          <w:szCs w:val="20"/>
        </w:rPr>
      </w:pPr>
      <w:r w:rsidRPr="00964811">
        <w:rPr>
          <w:rFonts w:ascii="Times New Roman" w:hAnsi="Times New Roman" w:cs="Times New Roman"/>
          <w:sz w:val="20"/>
          <w:szCs w:val="20"/>
        </w:rPr>
        <w:lastRenderedPageBreak/>
        <w:t xml:space="preserve">Дауылбаев М.К. Линейные интегро-дифференциальные уравнения с малым параметром. Алматы: </w:t>
      </w:r>
      <w:r w:rsidRPr="00964811">
        <w:rPr>
          <w:rFonts w:ascii="Times New Roman" w:hAnsi="Times New Roman" w:cs="Times New Roman"/>
          <w:sz w:val="20"/>
          <w:szCs w:val="20"/>
          <w:lang w:val="kk-KZ"/>
        </w:rPr>
        <w:t xml:space="preserve">Қазақ университеті. </w:t>
      </w:r>
      <w:r w:rsidRPr="00964811">
        <w:rPr>
          <w:rFonts w:ascii="Times New Roman" w:hAnsi="Times New Roman" w:cs="Times New Roman"/>
          <w:sz w:val="20"/>
          <w:szCs w:val="20"/>
        </w:rPr>
        <w:t xml:space="preserve">2009. 190 с. </w:t>
      </w:r>
    </w:p>
    <w:p w14:paraId="2271AD75" w14:textId="7FC27E2D" w:rsidR="002B19EA" w:rsidRPr="00964811" w:rsidRDefault="002B19EA" w:rsidP="00964811">
      <w:pPr>
        <w:pStyle w:val="a8"/>
        <w:numPr>
          <w:ilvl w:val="0"/>
          <w:numId w:val="3"/>
        </w:numPr>
        <w:ind w:left="317" w:hanging="317"/>
        <w:rPr>
          <w:rFonts w:ascii="Times New Roman" w:hAnsi="Times New Roman" w:cs="Times New Roman"/>
          <w:sz w:val="18"/>
          <w:szCs w:val="20"/>
        </w:rPr>
      </w:pPr>
      <w:r w:rsidRPr="00964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Қосымша әдебиеттер:</w:t>
      </w:r>
    </w:p>
    <w:p w14:paraId="23300D05" w14:textId="77777777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Федорюк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М.В.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Обыкновенные</w:t>
      </w:r>
      <w:r w:rsidRPr="00BA6D33">
        <w:rPr>
          <w:rFonts w:ascii="Times New Roman" w:hAnsi="Times New Roman" w:cs="Times New Roman"/>
          <w:spacing w:val="-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уравнения.</w:t>
      </w:r>
    </w:p>
    <w:p w14:paraId="05704D0A" w14:textId="438F96D0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  <w:tab w:val="left" w:pos="1973"/>
          <w:tab w:val="left" w:pos="2727"/>
          <w:tab w:val="left" w:pos="3804"/>
          <w:tab w:val="left" w:pos="5694"/>
          <w:tab w:val="left" w:pos="7474"/>
        </w:tabs>
        <w:autoSpaceDE w:val="0"/>
        <w:autoSpaceDN w:val="0"/>
        <w:spacing w:after="0" w:line="240" w:lineRule="auto"/>
        <w:ind w:left="862" w:right="138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pacing w:val="-2"/>
          <w:sz w:val="24"/>
        </w:rPr>
        <w:t>Матвеев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Н.М.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Методы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интегрирования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обыкновенных</w:t>
      </w:r>
      <w:r w:rsidR="00441E9F">
        <w:rPr>
          <w:rFonts w:ascii="Times New Roman" w:hAnsi="Times New Roman" w:cs="Times New Roman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дифференциальных </w:t>
      </w:r>
      <w:r w:rsidRPr="00BA6D33">
        <w:rPr>
          <w:rFonts w:ascii="Times New Roman" w:hAnsi="Times New Roman" w:cs="Times New Roman"/>
          <w:sz w:val="24"/>
        </w:rPr>
        <w:t>уравнений. Минск. – «Вышэйшая школа». - 1974. – 766 с.</w:t>
      </w:r>
    </w:p>
    <w:p w14:paraId="2CC274FB" w14:textId="77777777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before="1" w:after="0" w:line="240" w:lineRule="auto"/>
        <w:ind w:left="862" w:right="135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Еругин Н.П. Книга для чтения по общему курсу дифференциальных уравнений. – Минск.- Изд-во «Наука и техника». – 1972.- 664 с.</w:t>
      </w:r>
    </w:p>
    <w:p w14:paraId="3B0E99AD" w14:textId="77777777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Бибиков</w:t>
      </w:r>
      <w:r w:rsidRPr="00BA6D33">
        <w:rPr>
          <w:rFonts w:ascii="Times New Roman" w:hAnsi="Times New Roman" w:cs="Times New Roman"/>
          <w:spacing w:val="-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Ю.Н.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Курс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обыкновенных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дифференциальных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уравнений.</w:t>
      </w:r>
      <w:r w:rsidRPr="00BA6D33">
        <w:rPr>
          <w:rFonts w:ascii="Times New Roman" w:hAnsi="Times New Roman" w:cs="Times New Roman"/>
          <w:spacing w:val="-6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М.,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1991.</w:t>
      </w:r>
    </w:p>
    <w:p w14:paraId="571A5576" w14:textId="19A8E503" w:rsidR="002B19EA" w:rsidRPr="002B19EA" w:rsidRDefault="002B19EA" w:rsidP="002B1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B1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Электрондық ресурстар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4077CCEA" w14:textId="77777777" w:rsidR="002B19EA" w:rsidRPr="00942E77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2E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Python (NumPy, SciPy) </w:t>
      </w: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r w:rsidRPr="00942E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құжаттамалары</w:t>
      </w:r>
    </w:p>
    <w:p w14:paraId="34BA781C" w14:textId="77777777" w:rsid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MIT OpenCourseWare – Numerical Methods курстары</w:t>
      </w:r>
    </w:p>
    <w:p w14:paraId="06724459" w14:textId="632244E9" w:rsidR="008B2316" w:rsidRP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B2316" w:rsidRPr="002B1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Coursera / edX платформаларындағы сандық әдістер курстары</w:t>
      </w:r>
    </w:p>
    <w:p w14:paraId="68B4CA05" w14:textId="77777777" w:rsidR="008B2316" w:rsidRDefault="00B8656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lastRenderedPageBreak/>
        <w:t>БАҒАЛАУ САЯСАТЫ</w:t>
      </w:r>
    </w:p>
    <w:p w14:paraId="7AB70ACA" w14:textId="77777777" w:rsidR="008B2316" w:rsidRDefault="00B865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val="kk-KZ"/>
        </w:rPr>
        <w:t>Т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ЕМТИХАН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АУЫЗША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8B2316" w14:paraId="58FA1CA7" w14:textId="77777777">
        <w:trPr>
          <w:cantSplit/>
          <w:trHeight w:hRule="exact" w:val="237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5B25D394" w14:textId="77777777" w:rsidR="008B2316" w:rsidRDefault="008B2316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B9B1" w14:textId="77777777" w:rsidR="008B2316" w:rsidRDefault="008B2316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0AAED8" w14:textId="77777777" w:rsidR="008B2316" w:rsidRDefault="008B2316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2E24B64" w14:textId="77777777" w:rsidR="008B2316" w:rsidRDefault="00B8656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2E731AA3" w14:textId="77777777" w:rsidR="008B2316" w:rsidRDefault="008B231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BADB" w14:textId="77777777" w:rsidR="008B2316" w:rsidRDefault="00B86563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kk-KZ"/>
              </w:rPr>
              <w:t>лар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8B2316" w14:paraId="2EBCCAA6" w14:textId="77777777">
        <w:trPr>
          <w:cantSplit/>
          <w:trHeight w:hRule="exact" w:val="239"/>
        </w:trPr>
        <w:tc>
          <w:tcPr>
            <w:tcW w:w="12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0E2A1C3F" w14:textId="77777777" w:rsidR="008B2316" w:rsidRDefault="008B23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A4DBF" w14:textId="77777777" w:rsidR="008B2316" w:rsidRDefault="008B23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35FC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D4B9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89CA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AFEC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</w:p>
        </w:tc>
      </w:tr>
      <w:tr w:rsidR="008B2316" w14:paraId="702A18BE" w14:textId="77777777">
        <w:trPr>
          <w:cantSplit/>
          <w:trHeight w:hRule="exact" w:val="297"/>
        </w:trPr>
        <w:tc>
          <w:tcPr>
            <w:tcW w:w="12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1BB71AF3" w14:textId="77777777" w:rsidR="008B2316" w:rsidRDefault="00B865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18B2E" w14:textId="77777777" w:rsidR="008B2316" w:rsidRDefault="008B23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558AD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AD15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балл)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B601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E00C1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17FD564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балл)</w:t>
            </w:r>
          </w:p>
        </w:tc>
      </w:tr>
      <w:tr w:rsidR="008B2316" w14:paraId="01A14693" w14:textId="77777777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A0432CD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2E1DAD07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383B51E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15FE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D007FCC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7339CBD" w14:textId="77777777" w:rsidR="008B2316" w:rsidRDefault="00B865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Курс теориясы мен тұжырымдамаларын білу және түсіну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BA28" w14:textId="77777777" w:rsidR="008B2316" w:rsidRDefault="00B86563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Сұрақтың жан-жақты түсіндірмесі, әрбір қорытынды мен мәлімдеме үшін егжей-тегжейлі дәлелі бар, логикалық және дәйекті түрде құрастырылған және әзірленген сыныптағы тақырыптардан мысалдармен расталған жауап үшін «өте жақсы» баға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4C8C" w14:textId="52FE5424" w:rsidR="008B2316" w:rsidRDefault="00B86563" w:rsidP="00441E9F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«Жақсы» деген баға мәселенің толық, бірақ толық емес қамтылуын, </w:t>
            </w:r>
            <w:r w:rsidR="00441E9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ойлардың қысқартылған аргументтерін қамтитын және материалды баяндау логикасы мен реттілігін бұзуға мүмкіндік беретін жауапқа қойылады. Жауапта стильдік қателер мен терминдерді дұрыс қолданбау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83A8" w14:textId="77777777" w:rsidR="008B2316" w:rsidRDefault="00B8656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«Қанағаттанарлық» баға билетте ұсынылған сұрақтарды толық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жауапқа қойылады. әзірленген сынып жазбаларынан мысалдармен теориялық ойларды көрсетпеу.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AAFC" w14:textId="77777777" w:rsidR="008B2316" w:rsidRDefault="00B86563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4F33" w14:textId="77777777" w:rsidR="008B2316" w:rsidRDefault="00B86563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 ұғымдарды, теорияларды білмеу; Қорытынды бақылауды өткізу ережесін бұзу.</w:t>
            </w:r>
          </w:p>
        </w:tc>
      </w:tr>
      <w:tr w:rsidR="008B2316" w14:paraId="469AD053" w14:textId="77777777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231D305F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31D5847B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7482B1A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606B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D477" w14:textId="77777777" w:rsidR="008B2316" w:rsidRDefault="00B86563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0D324" w14:textId="77777777" w:rsidR="008B2316" w:rsidRDefault="00B86563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 тапсырмасын жартылай орындау, курстың практикалық мәселелерін толық емес шешумен қойылған сұраққа толық емес, кейде дәлелді жауап беру; курста ғылыми тілдік нормаларды сауатсыз қолдану;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D3DC" w14:textId="77777777" w:rsidR="008B2316" w:rsidRDefault="00B86563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пайдаланылады.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C7936" w14:textId="77777777" w:rsidR="008B2316" w:rsidRDefault="00B86563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2E1BC" w14:textId="77777777" w:rsidR="008B2316" w:rsidRDefault="00B86563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 шешу үшін білім мен алгоритмдерді қолдана алмау; қорытындылар мен жалпылаулар жасай алмау. Қорытынды бақылауды өткізу ережесін бұзу.</w:t>
            </w:r>
          </w:p>
        </w:tc>
      </w:tr>
    </w:tbl>
    <w:p w14:paraId="3C36D0A0" w14:textId="77777777" w:rsidR="008B2316" w:rsidRDefault="008B2316">
      <w:pPr>
        <w:rPr>
          <w:rFonts w:ascii="Times New Roman" w:hAnsi="Times New Roman" w:cs="Times New Roman"/>
          <w:sz w:val="20"/>
          <w:szCs w:val="20"/>
        </w:rPr>
        <w:sectPr w:rsidR="008B2316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1DEE671D" w14:textId="77777777" w:rsidR="008B2316" w:rsidRDefault="008B2316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8B2316" w14:paraId="3E0E01DB" w14:textId="77777777">
        <w:trPr>
          <w:cantSplit/>
          <w:trHeight w:hRule="exact" w:val="267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5DF686F8" w14:textId="77777777" w:rsidR="008B2316" w:rsidRDefault="008B2316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C437" w14:textId="77777777" w:rsidR="008B2316" w:rsidRDefault="008B2316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D084FF1" w14:textId="77777777" w:rsidR="008B2316" w:rsidRDefault="00B86563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32EFA1D9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0DEBF" w14:textId="77777777" w:rsidR="008B2316" w:rsidRDefault="00B86563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лар</w:t>
            </w:r>
          </w:p>
        </w:tc>
      </w:tr>
      <w:tr w:rsidR="008B2316" w14:paraId="32014333" w14:textId="77777777">
        <w:trPr>
          <w:cantSplit/>
          <w:trHeight w:hRule="exact" w:val="273"/>
        </w:trPr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3A69F870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BE47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583F" w14:textId="77777777" w:rsidR="008B2316" w:rsidRDefault="00B86563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5A67" w14:textId="77777777" w:rsidR="008B2316" w:rsidRDefault="00B86563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0273" w14:textId="77777777" w:rsidR="008B2316" w:rsidRDefault="00B86563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</w:p>
        </w:tc>
        <w:tc>
          <w:tcPr>
            <w:tcW w:w="3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D83C" w14:textId="77777777" w:rsidR="008B2316" w:rsidRDefault="00B86563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</w:p>
        </w:tc>
      </w:tr>
      <w:tr w:rsidR="008B2316" w14:paraId="6B7C42CE" w14:textId="77777777">
        <w:trPr>
          <w:cantSplit/>
          <w:trHeight w:hRule="exact" w:val="25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757BC75A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BC102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2032" w14:textId="77777777" w:rsidR="008B2316" w:rsidRDefault="00B86563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балл)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2064" w14:textId="77777777" w:rsidR="008B2316" w:rsidRDefault="00B86563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балл)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F6A7B" w14:textId="77777777" w:rsidR="008B2316" w:rsidRDefault="00B86563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балл)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B578" w14:textId="77777777" w:rsidR="008B2316" w:rsidRDefault="00B86563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балл)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8CB0" w14:textId="77777777" w:rsidR="008B2316" w:rsidRDefault="00B86563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балл)</w:t>
            </w:r>
          </w:p>
        </w:tc>
      </w:tr>
      <w:tr w:rsidR="008B2316" w14:paraId="6482D57D" w14:textId="77777777">
        <w:trPr>
          <w:cantSplit/>
          <w:trHeight w:hRule="exact" w:val="4144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91BD73E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3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5C1D297B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4A38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2DD3" w14:textId="77777777" w:rsidR="008B2316" w:rsidRDefault="00B86563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баяндаудағы жалпы дұрыс қорытындыға (көрсетілімді визуализациялау) әсер етпейтін 1-2 дәлсіздікке жол беріледі. графикалық деректерді пайдалану арқылы негіздеу нәтижелері).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A535" w14:textId="77777777" w:rsidR="008B2316" w:rsidRDefault="00B86563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Тапсырманы орындаудың жалпы жақсы деңгейіне әсер етпейтін тұжырымдамалық материалды пайдаланудағы 3-4 дәлсіздікке, жалпылау мен қорытынды жасауда болмашы қателіктерге жол беріледі.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CCE0" w14:textId="77777777" w:rsidR="008B2316" w:rsidRDefault="00B86563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9996C" w14:textId="77777777" w:rsidR="008B2316" w:rsidRDefault="00B86563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9B3B" w14:textId="77777777" w:rsidR="008B2316" w:rsidRDefault="00B86563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 орындалмаған, қойылған сұрақтарға жауаптар жоқ, материалдар мен талдау құралдары пайдаланылмаған. Қорытынды бақылауды өткізу ережесін бұзу.</w:t>
            </w:r>
          </w:p>
        </w:tc>
      </w:tr>
      <w:bookmarkEnd w:id="1"/>
    </w:tbl>
    <w:p w14:paraId="0A44F8F3" w14:textId="77777777" w:rsidR="008B2316" w:rsidRDefault="008B2316">
      <w:pPr>
        <w:rPr>
          <w:rFonts w:ascii="Times New Roman" w:hAnsi="Times New Roman" w:cs="Times New Roman"/>
        </w:rPr>
      </w:pPr>
    </w:p>
    <w:p w14:paraId="130F4245" w14:textId="77777777" w:rsidR="008B2316" w:rsidRDefault="008B2316">
      <w:pPr>
        <w:rPr>
          <w:rFonts w:ascii="Times New Roman" w:hAnsi="Times New Roman" w:cs="Times New Roman"/>
        </w:rPr>
      </w:pPr>
    </w:p>
    <w:p w14:paraId="4B6E0930" w14:textId="77777777" w:rsidR="008B2316" w:rsidRDefault="00B86563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Емтихан ж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мыстары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тан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рады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.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Д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рыс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орындал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ғ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тапсырмалар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максимум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100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оны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ң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ішінде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бірінші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екінші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шінші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40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57635226" w14:textId="77777777" w:rsidR="008B2316" w:rsidRDefault="008B2316">
      <w:pPr>
        <w:rPr>
          <w:rFonts w:ascii="Times New Roman" w:hAnsi="Times New Roman" w:cs="Times New Roman"/>
        </w:rPr>
      </w:pPr>
    </w:p>
    <w:p w14:paraId="1853623C" w14:textId="77777777" w:rsidR="008B2316" w:rsidRDefault="008B2316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EC56E3" w14:textId="77777777" w:rsidR="008B2316" w:rsidRDefault="008B23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8B23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DDBF1" w14:textId="77777777" w:rsidR="00233519" w:rsidRDefault="00233519">
      <w:pPr>
        <w:spacing w:line="240" w:lineRule="auto"/>
      </w:pPr>
      <w:r>
        <w:separator/>
      </w:r>
    </w:p>
  </w:endnote>
  <w:endnote w:type="continuationSeparator" w:id="0">
    <w:p w14:paraId="6B20ECE3" w14:textId="77777777" w:rsidR="00233519" w:rsidRDefault="00233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QOVFH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VWXFY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MGCEF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KPSPR+TimesNewRomanPSMT">
    <w:altName w:val="Sylfaen"/>
    <w:charset w:val="01"/>
    <w:family w:val="auto"/>
    <w:pitch w:val="default"/>
    <w:sig w:usb0="00000000" w:usb1="00000000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0E7EB" w14:textId="77777777" w:rsidR="00233519" w:rsidRDefault="00233519">
      <w:pPr>
        <w:spacing w:after="0"/>
      </w:pPr>
      <w:r>
        <w:separator/>
      </w:r>
    </w:p>
  </w:footnote>
  <w:footnote w:type="continuationSeparator" w:id="0">
    <w:p w14:paraId="02759ECA" w14:textId="77777777" w:rsidR="00233519" w:rsidRDefault="00233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0FB"/>
    <w:multiLevelType w:val="hybridMultilevel"/>
    <w:tmpl w:val="9544F38A"/>
    <w:lvl w:ilvl="0" w:tplc="B3381A88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398F392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E1D2F110">
      <w:numFmt w:val="bullet"/>
      <w:lvlText w:val="•"/>
      <w:lvlJc w:val="left"/>
      <w:pPr>
        <w:ind w:left="1835" w:hanging="360"/>
      </w:pPr>
      <w:rPr>
        <w:rFonts w:hint="default"/>
        <w:lang w:val="kk-KZ" w:eastAsia="en-US" w:bidi="ar-SA"/>
      </w:rPr>
    </w:lvl>
    <w:lvl w:ilvl="3" w:tplc="8EEC7982">
      <w:numFmt w:val="bullet"/>
      <w:lvlText w:val="•"/>
      <w:lvlJc w:val="left"/>
      <w:pPr>
        <w:ind w:left="2810" w:hanging="360"/>
      </w:pPr>
      <w:rPr>
        <w:rFonts w:hint="default"/>
        <w:lang w:val="kk-KZ" w:eastAsia="en-US" w:bidi="ar-SA"/>
      </w:rPr>
    </w:lvl>
    <w:lvl w:ilvl="4" w:tplc="CCAEDC34">
      <w:numFmt w:val="bullet"/>
      <w:lvlText w:val="•"/>
      <w:lvlJc w:val="left"/>
      <w:pPr>
        <w:ind w:left="3786" w:hanging="360"/>
      </w:pPr>
      <w:rPr>
        <w:rFonts w:hint="default"/>
        <w:lang w:val="kk-KZ" w:eastAsia="en-US" w:bidi="ar-SA"/>
      </w:rPr>
    </w:lvl>
    <w:lvl w:ilvl="5" w:tplc="45647768">
      <w:numFmt w:val="bullet"/>
      <w:lvlText w:val="•"/>
      <w:lvlJc w:val="left"/>
      <w:pPr>
        <w:ind w:left="4761" w:hanging="360"/>
      </w:pPr>
      <w:rPr>
        <w:rFonts w:hint="default"/>
        <w:lang w:val="kk-KZ" w:eastAsia="en-US" w:bidi="ar-SA"/>
      </w:rPr>
    </w:lvl>
    <w:lvl w:ilvl="6" w:tplc="3B2C5AFC">
      <w:numFmt w:val="bullet"/>
      <w:lvlText w:val="•"/>
      <w:lvlJc w:val="left"/>
      <w:pPr>
        <w:ind w:left="5737" w:hanging="360"/>
      </w:pPr>
      <w:rPr>
        <w:rFonts w:hint="default"/>
        <w:lang w:val="kk-KZ" w:eastAsia="en-US" w:bidi="ar-SA"/>
      </w:rPr>
    </w:lvl>
    <w:lvl w:ilvl="7" w:tplc="D05CE7F6">
      <w:numFmt w:val="bullet"/>
      <w:lvlText w:val="•"/>
      <w:lvlJc w:val="left"/>
      <w:pPr>
        <w:ind w:left="6712" w:hanging="360"/>
      </w:pPr>
      <w:rPr>
        <w:rFonts w:hint="default"/>
        <w:lang w:val="kk-KZ" w:eastAsia="en-US" w:bidi="ar-SA"/>
      </w:rPr>
    </w:lvl>
    <w:lvl w:ilvl="8" w:tplc="7518AA22">
      <w:numFmt w:val="bullet"/>
      <w:lvlText w:val="•"/>
      <w:lvlJc w:val="left"/>
      <w:pPr>
        <w:ind w:left="7688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7A09"/>
    <w:multiLevelType w:val="multilevel"/>
    <w:tmpl w:val="0B00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C632E"/>
    <w:multiLevelType w:val="hybridMultilevel"/>
    <w:tmpl w:val="71149804"/>
    <w:lvl w:ilvl="0" w:tplc="7C9E33FE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AC4291E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C16015EE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A328A996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70D4E7EA">
      <w:numFmt w:val="bullet"/>
      <w:lvlText w:val="•"/>
      <w:lvlJc w:val="left"/>
      <w:pPr>
        <w:ind w:left="4371" w:hanging="360"/>
      </w:pPr>
      <w:rPr>
        <w:rFonts w:hint="default"/>
        <w:lang w:val="kk-KZ" w:eastAsia="en-US" w:bidi="ar-SA"/>
      </w:rPr>
    </w:lvl>
    <w:lvl w:ilvl="5" w:tplc="AAB0BE0C">
      <w:numFmt w:val="bullet"/>
      <w:lvlText w:val="•"/>
      <w:lvlJc w:val="left"/>
      <w:pPr>
        <w:ind w:left="5249" w:hanging="360"/>
      </w:pPr>
      <w:rPr>
        <w:rFonts w:hint="default"/>
        <w:lang w:val="kk-KZ" w:eastAsia="en-US" w:bidi="ar-SA"/>
      </w:rPr>
    </w:lvl>
    <w:lvl w:ilvl="6" w:tplc="7FE0527A">
      <w:numFmt w:val="bullet"/>
      <w:lvlText w:val="•"/>
      <w:lvlJc w:val="left"/>
      <w:pPr>
        <w:ind w:left="6127" w:hanging="360"/>
      </w:pPr>
      <w:rPr>
        <w:rFonts w:hint="default"/>
        <w:lang w:val="kk-KZ" w:eastAsia="en-US" w:bidi="ar-SA"/>
      </w:rPr>
    </w:lvl>
    <w:lvl w:ilvl="7" w:tplc="868C400E">
      <w:numFmt w:val="bullet"/>
      <w:lvlText w:val="•"/>
      <w:lvlJc w:val="left"/>
      <w:pPr>
        <w:ind w:left="7005" w:hanging="360"/>
      </w:pPr>
      <w:rPr>
        <w:rFonts w:hint="default"/>
        <w:lang w:val="kk-KZ" w:eastAsia="en-US" w:bidi="ar-SA"/>
      </w:rPr>
    </w:lvl>
    <w:lvl w:ilvl="8" w:tplc="B0DA3F70">
      <w:numFmt w:val="bullet"/>
      <w:lvlText w:val="•"/>
      <w:lvlJc w:val="left"/>
      <w:pPr>
        <w:ind w:left="7883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22913EDC"/>
    <w:multiLevelType w:val="hybridMultilevel"/>
    <w:tmpl w:val="715A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46405"/>
    <w:multiLevelType w:val="multilevel"/>
    <w:tmpl w:val="BB66E3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F6420"/>
    <w:multiLevelType w:val="multilevel"/>
    <w:tmpl w:val="E6E0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609C0"/>
    <w:multiLevelType w:val="multilevel"/>
    <w:tmpl w:val="61960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1722B"/>
    <w:multiLevelType w:val="multilevel"/>
    <w:tmpl w:val="707172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4C1"/>
    <w:multiLevelType w:val="hybridMultilevel"/>
    <w:tmpl w:val="D4822A3C"/>
    <w:lvl w:ilvl="0" w:tplc="8604D0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227BA"/>
    <w:rsid w:val="00027A80"/>
    <w:rsid w:val="000C4950"/>
    <w:rsid w:val="000F6018"/>
    <w:rsid w:val="00147392"/>
    <w:rsid w:val="00180909"/>
    <w:rsid w:val="001A5D13"/>
    <w:rsid w:val="001E1890"/>
    <w:rsid w:val="001F0D39"/>
    <w:rsid w:val="00227E03"/>
    <w:rsid w:val="00233519"/>
    <w:rsid w:val="00251276"/>
    <w:rsid w:val="00252D25"/>
    <w:rsid w:val="002B19EA"/>
    <w:rsid w:val="002C7485"/>
    <w:rsid w:val="00357565"/>
    <w:rsid w:val="003F5A1A"/>
    <w:rsid w:val="00403141"/>
    <w:rsid w:val="00441E9F"/>
    <w:rsid w:val="004525E1"/>
    <w:rsid w:val="004B321B"/>
    <w:rsid w:val="006054A2"/>
    <w:rsid w:val="0067102C"/>
    <w:rsid w:val="00760BD0"/>
    <w:rsid w:val="007C27EA"/>
    <w:rsid w:val="00864CF3"/>
    <w:rsid w:val="008A4F7D"/>
    <w:rsid w:val="008B2316"/>
    <w:rsid w:val="008C5717"/>
    <w:rsid w:val="008C6F48"/>
    <w:rsid w:val="008F02C2"/>
    <w:rsid w:val="008F0544"/>
    <w:rsid w:val="00914AC0"/>
    <w:rsid w:val="0093791B"/>
    <w:rsid w:val="00942E77"/>
    <w:rsid w:val="00950255"/>
    <w:rsid w:val="00964811"/>
    <w:rsid w:val="00974EFF"/>
    <w:rsid w:val="00996435"/>
    <w:rsid w:val="00B41AA7"/>
    <w:rsid w:val="00B7215A"/>
    <w:rsid w:val="00B86563"/>
    <w:rsid w:val="00BA6D33"/>
    <w:rsid w:val="00C75F37"/>
    <w:rsid w:val="00C841D5"/>
    <w:rsid w:val="00CC43D9"/>
    <w:rsid w:val="00D903EE"/>
    <w:rsid w:val="00E436C4"/>
    <w:rsid w:val="00E51FF6"/>
    <w:rsid w:val="00FD0CF2"/>
    <w:rsid w:val="2EA5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B0F9"/>
  <w15:docId w15:val="{0964AAF5-5B08-480C-8D7A-CAC7D5EB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A5D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auto"/>
      <w:u w:val="none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qFormat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sz w:val="24"/>
      <w:szCs w:val="24"/>
    </w:r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uiPriority w:val="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10">
    <w:name w:val="Заголовок 1 Знак"/>
    <w:basedOn w:val="a0"/>
    <w:link w:val="1"/>
    <w:uiPriority w:val="9"/>
    <w:rsid w:val="001A5D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8">
    <w:name w:val="No Spacing"/>
    <w:uiPriority w:val="1"/>
    <w:qFormat/>
    <w:rsid w:val="009648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21</cp:revision>
  <dcterms:created xsi:type="dcterms:W3CDTF">2022-10-04T03:45:00Z</dcterms:created>
  <dcterms:modified xsi:type="dcterms:W3CDTF">2026-02-11T17:03:00Z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4519762AFFF048ECA0497A3E9A8EC811_13</vt:lpwstr>
  </property>
</Properties>
</file>